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78" w:type="dxa"/>
            <w:noWrap w:val="0"/>
            <w:vAlign w:val="center"/>
          </w:tcPr>
          <w:p>
            <w:pPr>
              <w:adjustRightInd w:val="0"/>
              <w:spacing w:line="900" w:lineRule="exact"/>
              <w:jc w:val="distribute"/>
              <w:rPr>
                <w:rFonts w:hint="eastAsia" w:ascii="方正小标宋简体" w:eastAsia="方正小标宋简体"/>
                <w:color w:val="FF0000"/>
                <w:spacing w:val="-80"/>
                <w:w w:val="90"/>
                <w:sz w:val="84"/>
                <w:szCs w:val="84"/>
              </w:rPr>
            </w:pPr>
            <w:r>
              <w:rPr>
                <w:rFonts w:hint="eastAsia" w:ascii="方正小标宋简体" w:eastAsia="方正小标宋简体"/>
                <w:color w:val="FF0000"/>
                <w:spacing w:val="-80"/>
                <w:w w:val="90"/>
                <w:sz w:val="84"/>
                <w:szCs w:val="84"/>
              </w:rPr>
              <w:t>中共</w:t>
            </w:r>
            <w:r>
              <w:rPr>
                <w:rFonts w:hint="eastAsia" w:ascii="方正小标宋简体" w:eastAsia="方正小标宋简体"/>
                <w:color w:val="FF0000"/>
                <w:spacing w:val="-80"/>
                <w:w w:val="90"/>
                <w:sz w:val="84"/>
                <w:szCs w:val="84"/>
                <w:lang w:eastAsia="zh-CN"/>
              </w:rPr>
              <w:t>巢湖</w:t>
            </w:r>
            <w:r>
              <w:rPr>
                <w:rFonts w:hint="eastAsia" w:ascii="方正小标宋简体" w:eastAsia="方正小标宋简体"/>
                <w:color w:val="FF0000"/>
                <w:spacing w:val="-80"/>
                <w:w w:val="90"/>
                <w:sz w:val="84"/>
                <w:szCs w:val="84"/>
              </w:rPr>
              <w:t>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78" w:type="dxa"/>
            <w:noWrap w:val="0"/>
            <w:vAlign w:val="center"/>
          </w:tcPr>
          <w:p>
            <w:pPr>
              <w:adjustRightInd w:val="0"/>
              <w:spacing w:line="900" w:lineRule="exact"/>
              <w:jc w:val="distribute"/>
              <w:rPr>
                <w:rFonts w:hint="eastAsia" w:ascii="方正小标宋简体" w:eastAsia="方正小标宋简体"/>
                <w:color w:val="FF0000"/>
                <w:spacing w:val="-80"/>
                <w:w w:val="90"/>
                <w:sz w:val="84"/>
                <w:szCs w:val="84"/>
              </w:rPr>
            </w:pPr>
            <w:r>
              <w:rPr>
                <w:rFonts w:hint="eastAsia" w:ascii="方正小标宋简体" w:eastAsia="方正小标宋简体"/>
                <w:color w:val="FF0000"/>
                <w:spacing w:val="-80"/>
                <w:w w:val="90"/>
                <w:sz w:val="84"/>
                <w:szCs w:val="84"/>
                <w:lang w:eastAsia="zh-CN"/>
              </w:rPr>
              <w:t>巢湖</w:t>
            </w:r>
            <w:r>
              <w:rPr>
                <w:rFonts w:hint="eastAsia" w:ascii="方正小标宋简体" w:eastAsia="方正小标宋简体"/>
                <w:color w:val="FF0000"/>
                <w:spacing w:val="-80"/>
                <w:w w:val="90"/>
                <w:sz w:val="84"/>
                <w:szCs w:val="84"/>
              </w:rPr>
              <w:t>市文化和旅游局</w:t>
            </w:r>
          </w:p>
        </w:tc>
      </w:tr>
    </w:tbl>
    <w:p>
      <w:pPr>
        <w:adjustRightInd w:val="0"/>
        <w:snapToGrid w:val="0"/>
        <w:spacing w:line="420" w:lineRule="exact"/>
        <w:rPr>
          <w:sz w:val="36"/>
          <w:szCs w:val="36"/>
        </w:rPr>
      </w:pPr>
      <w:r>
        <w:rPr>
          <w:rFonts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196850</wp:posOffset>
                </wp:positionV>
                <wp:extent cx="5667375" cy="0"/>
                <wp:effectExtent l="0" t="12700" r="952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.5pt;height:0pt;width:446.25pt;mso-position-horizontal:center;z-index:251659264;mso-width-relative:page;mso-height-relative:page;" filled="f" stroked="t" coordsize="21600,21600" o:gfxdata="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f4jENUAAAAGAQAADwAAAAAAAAABACAAAAAiAAAAZHJzL2Rvd25yZXYueG1sUEsB&#10;AhQAFAAAAAgAh07iQHOSI6n4AQAA5QMAAA4AAAAAAAAAAQAgAAAAJA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关于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征集和选拔</w:t>
      </w:r>
      <w:r>
        <w:rPr>
          <w:rFonts w:hint="eastAsia" w:eastAsia="方正小标宋简体"/>
          <w:color w:val="000000"/>
          <w:sz w:val="44"/>
          <w:szCs w:val="44"/>
        </w:rPr>
        <w:t>合肥市第八届基层文艺调演季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参赛节目</w:t>
      </w:r>
      <w:r>
        <w:rPr>
          <w:rFonts w:hint="eastAsia" w:eastAsia="方正小标宋简体"/>
          <w:color w:val="000000"/>
          <w:sz w:val="44"/>
          <w:szCs w:val="44"/>
        </w:rPr>
        <w:t>的通知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2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各乡镇、街道党（工）委，市直有关单位党组织：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为认真学习贯彻习近平新时代中国特色社会主义思想，深入学习宣传贯彻</w:t>
      </w:r>
      <w:r>
        <w:fldChar w:fldCharType="begin"/>
      </w:r>
      <w:r>
        <w:instrText xml:space="preserve"> HYPERLINK "http://news.12371.cn/2016/07/02/ARTI1467464766444646.shtml" \t "_blank" </w:instrText>
      </w:r>
      <w:r>
        <w:fldChar w:fldCharType="separate"/>
      </w:r>
      <w:r>
        <w:rPr>
          <w:rFonts w:hint="eastAsia" w:eastAsia="仿宋_GB2312"/>
          <w:sz w:val="32"/>
        </w:rPr>
        <w:t>习近平总书记“七一”重要讲话和考察安徽重要讲话指示精神，</w:t>
      </w:r>
      <w:r>
        <w:rPr>
          <w:rFonts w:hint="eastAsia" w:eastAsia="仿宋_GB2312"/>
          <w:sz w:val="32"/>
        </w:rPr>
        <w:fldChar w:fldCharType="end"/>
      </w:r>
      <w:r>
        <w:rPr>
          <w:rFonts w:hint="eastAsia" w:eastAsia="仿宋_GB2312"/>
          <w:sz w:val="32"/>
        </w:rPr>
        <w:t>满足广大群众精神文化需要，经研究决定，面向全市各文艺团体和个人征集和选拔参加合肥市</w:t>
      </w:r>
      <w:r>
        <w:rPr>
          <w:rFonts w:hint="eastAsia" w:eastAsia="仿宋_GB2312"/>
          <w:sz w:val="32"/>
          <w:lang w:eastAsia="zh-CN"/>
        </w:rPr>
        <w:t>第八届</w:t>
      </w:r>
      <w:r>
        <w:rPr>
          <w:rFonts w:hint="eastAsia" w:eastAsia="仿宋_GB2312"/>
          <w:sz w:val="32"/>
        </w:rPr>
        <w:t>基层文艺调演季比赛优秀节目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有关事项通知如下</w:t>
      </w:r>
      <w:r>
        <w:rPr>
          <w:rFonts w:hint="eastAsia" w:eastAsia="仿宋_GB2312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一、活动形式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sz w:val="32"/>
        </w:rPr>
      </w:pPr>
      <w:r>
        <w:rPr>
          <w:rFonts w:hint="eastAsia" w:eastAsia="仿宋_GB2312" w:cs="仿宋_GB2312"/>
          <w:sz w:val="32"/>
        </w:rPr>
        <w:t>本次基层文艺调演季活动具体由“乐起名城”器乐大赛、“艺曲庐州”曲艺大赛和第六届“玉兰杯”戏曲大赛三项比赛组成。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sz w:val="32"/>
        </w:rPr>
      </w:pPr>
      <w:r>
        <w:rPr>
          <w:rFonts w:hint="eastAsia" w:eastAsia="仿宋_GB2312" w:cs="仿宋_GB2312"/>
          <w:sz w:val="32"/>
        </w:rPr>
        <w:t>“乐起名城”器乐大赛，以“奏华彩乐章 享全面小康”为主题，表演形式以民乐为主，演奏形式</w:t>
      </w:r>
      <w:r>
        <w:rPr>
          <w:rFonts w:hint="eastAsia" w:eastAsia="仿宋_GB2312" w:cs="仿宋_GB2312"/>
          <w:sz w:val="32"/>
          <w:szCs w:val="32"/>
        </w:rPr>
        <w:t>包括重奏、合奏，参赛人数不得超过15人，时间要求在8分钟之内。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</w:rPr>
        <w:t>“艺曲庐州”曲艺大赛，以</w:t>
      </w:r>
      <w:r>
        <w:rPr>
          <w:rFonts w:hint="eastAsia" w:eastAsia="仿宋_GB2312" w:cs="仿宋_GB2312"/>
          <w:color w:val="000000"/>
          <w:sz w:val="32"/>
        </w:rPr>
        <w:t>“曲苑百花开 小康一起来”为主题，</w:t>
      </w:r>
      <w:r>
        <w:rPr>
          <w:rFonts w:hint="eastAsia" w:eastAsia="仿宋_GB2312" w:cs="仿宋_GB2312"/>
          <w:color w:val="000000"/>
          <w:sz w:val="32"/>
          <w:szCs w:val="32"/>
        </w:rPr>
        <w:t>表演形式以相声、小品</w:t>
      </w:r>
      <w:r>
        <w:rPr>
          <w:rFonts w:hint="eastAsia" w:eastAsia="仿宋_GB2312" w:cs="仿宋_GB2312"/>
          <w:sz w:val="32"/>
        </w:rPr>
        <w:t>、门歌、安徽大鼓、“三</w:t>
      </w:r>
      <w:r>
        <w:rPr>
          <w:rFonts w:hint="eastAsia" w:eastAsia="仿宋_GB2312" w:cs="仿宋_GB2312"/>
          <w:sz w:val="32"/>
          <w:szCs w:val="32"/>
        </w:rPr>
        <w:t>书”（快板书、山东快书、评书）调演为主，时间要求在12分钟之内。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snapToGrid w:val="0"/>
          <w:kern w:val="0"/>
          <w:sz w:val="32"/>
          <w:szCs w:val="20"/>
        </w:rPr>
      </w:pPr>
      <w:r>
        <w:rPr>
          <w:rFonts w:hint="eastAsia" w:eastAsia="仿宋_GB2312" w:cs="仿宋_GB2312"/>
          <w:sz w:val="32"/>
        </w:rPr>
        <w:t xml:space="preserve"> </w:t>
      </w:r>
      <w:r>
        <w:rPr>
          <w:rFonts w:hint="eastAsia" w:eastAsia="仿宋_GB2312" w:cs="仿宋_GB2312"/>
          <w:snapToGrid w:val="0"/>
          <w:kern w:val="0"/>
          <w:sz w:val="32"/>
          <w:szCs w:val="20"/>
        </w:rPr>
        <w:t>第六届“玉兰杯”戏曲大赛，以“幸福小康 庐韵悠扬”为主题，面向全市戏曲艺术爱好者，职业不限，年龄为18周岁—50周岁，表演作品为庐剧唱段选段，庐剧传统节目、现代节目及创作节目均可。每个唱段时长不超过8分钟。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二、活动安排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hint="eastAsia" w:eastAsia="楷体_GB2312"/>
          <w:b/>
          <w:bCs/>
          <w:color w:val="000000"/>
          <w:sz w:val="32"/>
          <w:szCs w:val="32"/>
        </w:rPr>
        <w:t>（一）赛程安排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outlineLvl w:val="9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请参赛团体和个人</w:t>
      </w:r>
      <w:r>
        <w:rPr>
          <w:rFonts w:hint="eastAsia" w:eastAsia="仿宋_GB2312"/>
          <w:color w:val="000000"/>
          <w:sz w:val="32"/>
          <w:szCs w:val="32"/>
        </w:rPr>
        <w:t>在疫情防控常态化条件下，根据活动要求报送推荐节目的视频。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参赛团体和个人</w:t>
      </w:r>
      <w:r>
        <w:rPr>
          <w:rFonts w:hint="eastAsia" w:eastAsia="仿宋_GB2312"/>
          <w:color w:val="000000"/>
          <w:sz w:val="32"/>
          <w:szCs w:val="32"/>
        </w:rPr>
        <w:t>每项比赛推荐不超过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个节目。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outlineLvl w:val="9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各参赛团体和个人</w:t>
      </w:r>
      <w:r>
        <w:rPr>
          <w:rFonts w:hint="eastAsia" w:eastAsia="仿宋_GB2312"/>
          <w:color w:val="000000"/>
          <w:sz w:val="32"/>
          <w:szCs w:val="32"/>
        </w:rPr>
        <w:t>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</w:rPr>
        <w:t>日前报送</w:t>
      </w:r>
      <w:r>
        <w:rPr>
          <w:rFonts w:hint="eastAsia" w:eastAsia="仿宋_GB2312"/>
          <w:sz w:val="32"/>
        </w:rPr>
        <w:t>“乐起名城”器乐大赛</w:t>
      </w:r>
      <w:r>
        <w:rPr>
          <w:rFonts w:hint="eastAsia" w:eastAsia="仿宋_GB2312"/>
          <w:color w:val="000000"/>
          <w:sz w:val="32"/>
          <w:szCs w:val="32"/>
        </w:rPr>
        <w:t>推荐表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和节目视频</w:t>
      </w:r>
      <w:r>
        <w:rPr>
          <w:rFonts w:hint="eastAsia" w:eastAsia="仿宋_GB2312"/>
          <w:color w:val="000000"/>
          <w:sz w:val="32"/>
          <w:szCs w:val="32"/>
        </w:rPr>
        <w:t>，于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日前报送</w:t>
      </w:r>
      <w:r>
        <w:rPr>
          <w:rFonts w:hint="eastAsia" w:eastAsia="仿宋_GB2312"/>
          <w:sz w:val="32"/>
        </w:rPr>
        <w:t>“艺曲庐州”曲艺大赛</w:t>
      </w:r>
      <w:r>
        <w:rPr>
          <w:rFonts w:hint="eastAsia" w:eastAsia="仿宋_GB2312"/>
          <w:color w:val="000000"/>
          <w:sz w:val="32"/>
          <w:szCs w:val="32"/>
        </w:rPr>
        <w:t>推荐表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和节目视频</w:t>
      </w:r>
      <w:r>
        <w:rPr>
          <w:rFonts w:hint="eastAsia" w:eastAsia="仿宋_GB2312"/>
          <w:color w:val="000000"/>
          <w:sz w:val="32"/>
          <w:szCs w:val="32"/>
        </w:rPr>
        <w:t>，于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000000"/>
          <w:sz w:val="32"/>
          <w:szCs w:val="32"/>
        </w:rPr>
        <w:t>日前报送第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六</w:t>
      </w:r>
      <w:r>
        <w:rPr>
          <w:rFonts w:hint="eastAsia" w:eastAsia="仿宋_GB2312"/>
          <w:color w:val="000000"/>
          <w:sz w:val="32"/>
          <w:szCs w:val="32"/>
        </w:rPr>
        <w:t>届“玉兰杯”戏曲大赛推荐表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和节目视频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outlineLvl w:val="9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市委宣传部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、市文旅局</w:t>
      </w:r>
      <w:r>
        <w:rPr>
          <w:rFonts w:hint="eastAsia" w:eastAsia="仿宋_GB2312"/>
          <w:color w:val="000000"/>
          <w:sz w:val="32"/>
          <w:szCs w:val="32"/>
        </w:rPr>
        <w:t>将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根据节目视频征集情况</w:t>
      </w:r>
      <w:r>
        <w:rPr>
          <w:rFonts w:hint="eastAsia" w:eastAsia="仿宋_GB2312"/>
          <w:color w:val="000000"/>
          <w:sz w:val="32"/>
          <w:szCs w:val="32"/>
        </w:rPr>
        <w:t>组织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选拔，推荐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1-5个优秀视频节目参加合肥市比赛</w:t>
      </w:r>
      <w:r>
        <w:rPr>
          <w:rFonts w:hint="eastAsia" w:eastAsia="仿宋_GB2312"/>
          <w:color w:val="000000"/>
          <w:sz w:val="32"/>
          <w:szCs w:val="32"/>
        </w:rPr>
        <w:t>。对推荐参加合肥市比赛的优秀节目，市委宣传部将给予一定的资金补助。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合肥市将组织集中评比，分别评选一、二、三等奖，并给予奖金奖励。对我市在合肥市比赛中获奖的优秀节目，巢湖市文旅局也将给予适当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资金奖励。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hint="eastAsia" w:eastAsia="楷体_GB2312"/>
          <w:b/>
          <w:bCs/>
          <w:color w:val="000000"/>
          <w:sz w:val="32"/>
          <w:szCs w:val="32"/>
        </w:rPr>
        <w:t>（二）参赛要求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1．参赛节目要注重思想性、艺术性、观赏性的统一。作品导向要坚持以人民为中心，反映时代精神，主题鲜明突出，基调积极向上，鼓励内容原创新创，艺术表现和风格的多样性。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2．参加评选的节目必须是本辖区内文艺团体和个人，所有节目不得外请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合肥</w:t>
      </w:r>
      <w:r>
        <w:rPr>
          <w:rFonts w:hint="eastAsia" w:eastAsia="仿宋_GB2312" w:cs="仿宋_GB2312"/>
          <w:color w:val="000000"/>
          <w:sz w:val="32"/>
          <w:szCs w:val="32"/>
        </w:rPr>
        <w:t>市级及以上专业院团参演，一经发现违规行为，取消参评资格。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color w:val="000000"/>
          <w:sz w:val="32"/>
          <w:szCs w:val="32"/>
        </w:rPr>
        <w:t>.推荐节目视频需为MP4、MOV、AVI等常见视频格式的高清视频，单个视频大小为不超过200兆，分辨率不低于720*1280。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outlineLvl w:val="9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color w:val="000000"/>
          <w:sz w:val="32"/>
          <w:szCs w:val="32"/>
        </w:rPr>
        <w:t>．各地各单位推荐参加</w:t>
      </w:r>
      <w:r>
        <w:rPr>
          <w:rFonts w:hint="eastAsia" w:eastAsia="仿宋_GB2312" w:cs="仿宋_GB2312"/>
          <w:sz w:val="32"/>
        </w:rPr>
        <w:t>“乐起名城”器乐大赛、“艺曲庐州”曲艺大赛</w:t>
      </w:r>
      <w:r>
        <w:rPr>
          <w:rFonts w:hint="eastAsia" w:eastAsia="仿宋_GB2312" w:cs="仿宋_GB2312"/>
          <w:color w:val="000000"/>
          <w:sz w:val="32"/>
          <w:szCs w:val="32"/>
        </w:rPr>
        <w:t>复赛的节目要填写《节目推荐表》（附件2），参加第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eastAsia="仿宋_GB2312" w:cs="仿宋_GB2312"/>
          <w:color w:val="000000"/>
          <w:sz w:val="32"/>
          <w:szCs w:val="32"/>
        </w:rPr>
        <w:t>届“玉兰杯”戏曲大赛复赛的节目填写《比赛推荐表》（附件3），所有推荐表与视频一同以U盘形式报至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市文旅局公共服务科邮箱（chwlggfwk@163.com）</w:t>
      </w:r>
      <w:r>
        <w:rPr>
          <w:rFonts w:hint="eastAsia" w:eastAsia="仿宋_GB2312"/>
          <w:color w:val="000000"/>
          <w:sz w:val="32"/>
          <w:szCs w:val="32"/>
        </w:rPr>
        <w:t>，联系人：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宋邦文、战皓</w:t>
      </w:r>
      <w:r>
        <w:rPr>
          <w:rFonts w:hint="eastAsia" w:eastAsia="仿宋_GB2312"/>
          <w:color w:val="000000"/>
          <w:sz w:val="32"/>
          <w:szCs w:val="32"/>
        </w:rPr>
        <w:t>，联系电话：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82331065。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三、活动要求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b/>
          <w:bCs/>
          <w:color w:val="000000"/>
          <w:sz w:val="32"/>
          <w:szCs w:val="32"/>
        </w:rPr>
        <w:t>（一）高度重视，精心组织。</w:t>
      </w:r>
      <w:r>
        <w:rPr>
          <w:rFonts w:hint="eastAsia" w:eastAsia="仿宋_GB2312"/>
          <w:color w:val="000000"/>
          <w:sz w:val="32"/>
          <w:szCs w:val="32"/>
        </w:rPr>
        <w:t>各地各单位要精心策划，广泛发动，让广大基层群众参与其中。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各团体和个人要精心策划参赛节目，组织好视频拍摄工作。后期，参加合肥市比赛节目</w:t>
      </w:r>
      <w:r>
        <w:rPr>
          <w:rFonts w:eastAsia="仿宋_GB2312"/>
          <w:color w:val="000000"/>
          <w:sz w:val="32"/>
          <w:szCs w:val="32"/>
        </w:rPr>
        <w:t>要配合全市</w:t>
      </w:r>
      <w:r>
        <w:rPr>
          <w:rFonts w:hint="eastAsia" w:eastAsia="仿宋_GB2312"/>
          <w:color w:val="000000"/>
          <w:sz w:val="32"/>
          <w:szCs w:val="32"/>
        </w:rPr>
        <w:t>调演</w:t>
      </w:r>
      <w:r>
        <w:rPr>
          <w:rFonts w:eastAsia="仿宋_GB2312"/>
          <w:color w:val="000000"/>
          <w:sz w:val="32"/>
          <w:szCs w:val="32"/>
        </w:rPr>
        <w:t>活动安排</w:t>
      </w:r>
      <w:r>
        <w:rPr>
          <w:rFonts w:hint="eastAsia" w:eastAsia="仿宋_GB2312"/>
          <w:color w:val="000000"/>
          <w:sz w:val="32"/>
          <w:szCs w:val="32"/>
        </w:rPr>
        <w:t>，做好各项</w:t>
      </w:r>
      <w:r>
        <w:rPr>
          <w:rFonts w:eastAsia="仿宋_GB2312"/>
          <w:color w:val="000000"/>
          <w:sz w:val="32"/>
          <w:szCs w:val="32"/>
        </w:rPr>
        <w:t>协调工作。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楷体_GB2312"/>
          <w:b/>
          <w:bCs/>
          <w:color w:val="000000"/>
          <w:sz w:val="32"/>
          <w:szCs w:val="32"/>
        </w:rPr>
        <w:t>（二）抓好创作，打造精品。</w:t>
      </w:r>
      <w:r>
        <w:rPr>
          <w:rFonts w:hint="eastAsia" w:eastAsia="仿宋_GB2312"/>
          <w:color w:val="000000"/>
          <w:sz w:val="32"/>
          <w:szCs w:val="32"/>
        </w:rPr>
        <w:t>坚持以人民为中心，牢固树立精品意识，尊重艺术创作规律，确保作品的思想艺术质量。要紧密联系社会生活实际，不断增强文艺作品的吸引力和感染力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b/>
          <w:bCs/>
          <w:color w:val="000000"/>
          <w:sz w:val="32"/>
          <w:szCs w:val="32"/>
        </w:rPr>
        <w:t>（三）团结协作，形成合力。</w:t>
      </w:r>
      <w:r>
        <w:rPr>
          <w:rFonts w:hint="eastAsia" w:eastAsia="仿宋_GB2312"/>
          <w:sz w:val="32"/>
          <w:szCs w:val="32"/>
        </w:rPr>
        <w:t>各地各单位要充分发挥自身优势，加强指导，全力支持，统筹协作，抓好落实。要以活动为契机，甄选优秀作品，发掘优秀人才，畅通体制机制，解决实际问题，进一步夯实基层文艺工作基础。</w:t>
      </w:r>
    </w:p>
    <w:p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附件：</w:t>
      </w:r>
      <w:r>
        <w:rPr>
          <w:rFonts w:hint="eastAsia" w:eastAsia="仿宋_GB2312" w:cs="仿宋_GB2312"/>
          <w:color w:val="000000"/>
          <w:sz w:val="32"/>
          <w:szCs w:val="32"/>
        </w:rPr>
        <w:t>1．2021年</w:t>
      </w:r>
      <w:r>
        <w:rPr>
          <w:rFonts w:hint="eastAsia" w:eastAsia="仿宋_GB2312" w:cs="仿宋_GB2312"/>
          <w:sz w:val="32"/>
        </w:rPr>
        <w:t>第八届基层文艺调演季</w:t>
      </w:r>
      <w:r>
        <w:rPr>
          <w:rFonts w:hint="eastAsia" w:eastAsia="仿宋_GB2312" w:cs="仿宋_GB2312"/>
          <w:color w:val="000000"/>
          <w:sz w:val="32"/>
          <w:szCs w:val="32"/>
        </w:rPr>
        <w:t>节目推荐表</w:t>
      </w:r>
    </w:p>
    <w:p>
      <w:pPr>
        <w:adjustRightInd w:val="0"/>
        <w:snapToGrid w:val="0"/>
        <w:spacing w:line="560" w:lineRule="exact"/>
        <w:ind w:firstLine="1600" w:firstLineChars="5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2．第六届“玉兰杯”戏曲大赛节目推荐表</w:t>
      </w:r>
    </w:p>
    <w:p>
      <w:pPr>
        <w:adjustRightInd w:val="0"/>
        <w:snapToGrid w:val="0"/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2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中共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巢湖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市委宣传部  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巢湖</w:t>
      </w:r>
      <w:r>
        <w:rPr>
          <w:rFonts w:hint="eastAsia" w:eastAsia="仿宋_GB2312" w:cs="仿宋_GB2312"/>
          <w:color w:val="000000"/>
          <w:sz w:val="32"/>
          <w:szCs w:val="32"/>
        </w:rPr>
        <w:t>市文化和旅游局　　</w:t>
      </w:r>
    </w:p>
    <w:p>
      <w:pPr>
        <w:wordWrap w:val="0"/>
        <w:adjustRightInd w:val="0"/>
        <w:snapToGrid w:val="0"/>
        <w:spacing w:line="592" w:lineRule="exact"/>
        <w:ind w:firstLine="1600" w:firstLineChars="500"/>
        <w:jc w:val="righ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color w:val="000000"/>
          <w:sz w:val="32"/>
          <w:szCs w:val="32"/>
        </w:rPr>
        <w:t>2021年9月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eastAsia="仿宋_GB2312" w:cs="仿宋_GB2312"/>
          <w:color w:val="000000"/>
          <w:sz w:val="32"/>
          <w:szCs w:val="32"/>
        </w:rPr>
        <w:t>日　　</w:t>
      </w:r>
    </w:p>
    <w:p>
      <w:pPr>
        <w:rPr>
          <w:rFonts w:hint="eastAsia" w:eastAsia="仿宋_GB2312" w:cs="仿宋_GB2312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 w:cs="仿宋_GB2312"/>
          <w:color w:val="000000"/>
          <w:sz w:val="32"/>
          <w:szCs w:val="32"/>
        </w:rPr>
        <w:br w:type="page"/>
      </w:r>
    </w:p>
    <w:p>
      <w:pPr>
        <w:spacing w:line="600" w:lineRule="exac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before="296" w:beforeLines="50" w:after="296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2021年第八届基层文艺调演季节目推荐表</w:t>
      </w:r>
    </w:p>
    <w:p>
      <w:pPr>
        <w:spacing w:line="560" w:lineRule="exact"/>
        <w:jc w:val="left"/>
        <w:rPr>
          <w:rFonts w:eastAsia="楷体_GB2312"/>
          <w:color w:val="000000"/>
          <w:sz w:val="30"/>
          <w:szCs w:val="30"/>
        </w:rPr>
      </w:pPr>
      <w:r>
        <w:rPr>
          <w:rFonts w:hint="eastAsia" w:eastAsia="楷体_GB2312"/>
          <w:color w:val="000000"/>
          <w:sz w:val="30"/>
          <w:szCs w:val="30"/>
        </w:rPr>
        <w:t>推荐单位：           （盖章）                             联系人及电话：</w:t>
      </w:r>
    </w:p>
    <w:tbl>
      <w:tblPr>
        <w:tblStyle w:val="4"/>
        <w:tblW w:w="13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383"/>
        <w:gridCol w:w="2066"/>
        <w:gridCol w:w="1589"/>
        <w:gridCol w:w="2042"/>
        <w:gridCol w:w="3495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ind w:left="-103" w:leftChars="-50" w:right="-103" w:rightChars="-5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节目名称</w:t>
            </w:r>
          </w:p>
        </w:tc>
        <w:tc>
          <w:tcPr>
            <w:tcW w:w="2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节目类别（器乐/曲艺）</w:t>
            </w: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节目时长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</w:rPr>
              <w:t>参赛者性质</w:t>
            </w:r>
          </w:p>
          <w:p>
            <w:pPr>
              <w:adjustRightInd w:val="0"/>
              <w:snapToGrid w:val="0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</w:rPr>
              <w:t>（个人/团体）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</w:rPr>
              <w:t>参赛者姓名/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</w:rPr>
              <w:t>参赛团队名称及人数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42" w:lineRule="exact"/>
        <w:rPr>
          <w:rFonts w:hint="eastAsia" w:eastAsia="黑体"/>
          <w:snapToGrid w:val="0"/>
          <w:color w:val="000000"/>
          <w:kern w:val="0"/>
          <w:sz w:val="32"/>
          <w:szCs w:val="20"/>
          <w:lang w:eastAsia="zh-CN"/>
        </w:rPr>
      </w:pPr>
      <w:r>
        <w:rPr>
          <w:rFonts w:hint="eastAsia" w:eastAsia="黑体"/>
          <w:snapToGrid w:val="0"/>
          <w:color w:val="000000"/>
          <w:kern w:val="0"/>
          <w:sz w:val="32"/>
          <w:szCs w:val="20"/>
        </w:rPr>
        <w:t>附件</w:t>
      </w:r>
      <w:r>
        <w:rPr>
          <w:rFonts w:hint="eastAsia" w:eastAsia="黑体"/>
          <w:snapToGrid w:val="0"/>
          <w:color w:val="000000"/>
          <w:kern w:val="0"/>
          <w:sz w:val="32"/>
          <w:szCs w:val="20"/>
          <w:lang w:val="en-US" w:eastAsia="zh-CN"/>
        </w:rPr>
        <w:t>2</w:t>
      </w:r>
    </w:p>
    <w:p>
      <w:pPr>
        <w:adjustRightInd w:val="0"/>
        <w:snapToGrid w:val="0"/>
        <w:spacing w:line="542" w:lineRule="exact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42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第六届“玉兰杯”戏曲大赛节目推荐表</w:t>
      </w:r>
    </w:p>
    <w:p>
      <w:pPr>
        <w:adjustRightInd w:val="0"/>
        <w:snapToGrid w:val="0"/>
        <w:spacing w:line="420" w:lineRule="exact"/>
        <w:rPr>
          <w:rFonts w:eastAsia="仿宋_GB2312"/>
          <w:snapToGrid w:val="0"/>
          <w:color w:val="000000"/>
          <w:kern w:val="0"/>
          <w:sz w:val="32"/>
          <w:szCs w:val="20"/>
        </w:rPr>
      </w:pPr>
    </w:p>
    <w:p>
      <w:pPr>
        <w:adjustRightInd w:val="0"/>
        <w:snapToGrid w:val="0"/>
        <w:spacing w:line="542" w:lineRule="exact"/>
        <w:ind w:firstLine="148" w:firstLineChars="50"/>
        <w:rPr>
          <w:rFonts w:ascii="楷体_GB2312" w:eastAsia="楷体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楷体_GB2312" w:eastAsia="楷体_GB2312"/>
          <w:snapToGrid w:val="0"/>
          <w:color w:val="000000"/>
          <w:kern w:val="0"/>
          <w:sz w:val="30"/>
          <w:szCs w:val="30"/>
        </w:rPr>
        <w:t>推荐单位（盖章）：                                    联系人及电话：</w:t>
      </w:r>
    </w:p>
    <w:tbl>
      <w:tblPr>
        <w:tblStyle w:val="4"/>
        <w:tblW w:w="13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956"/>
        <w:gridCol w:w="2790"/>
        <w:gridCol w:w="1713"/>
        <w:gridCol w:w="1483"/>
        <w:gridCol w:w="2870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选段/唱段名称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戏曲种类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节目时长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8"/>
                <w:szCs w:val="28"/>
              </w:rPr>
              <w:t>参赛者姓名</w:t>
            </w:r>
            <w:r>
              <w:rPr>
                <w:rFonts w:eastAsia="黑体" w:cs="宋体"/>
                <w:color w:val="000000"/>
                <w:kern w:val="0"/>
                <w:sz w:val="28"/>
                <w:szCs w:val="28"/>
              </w:rPr>
              <w:t>/</w:t>
            </w:r>
          </w:p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8"/>
                <w:szCs w:val="28"/>
              </w:rPr>
              <w:t>参赛团队名称及人数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03" w:right="1985" w:bottom="1503" w:left="1758" w:header="851" w:footer="1361" w:gutter="0"/>
          <w:cols w:space="425" w:num="1"/>
          <w:docGrid w:type="linesAndChars" w:linePitch="592" w:charSpace="-84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7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60" w:lineRule="exact"/>
      <w:ind w:firstLine="280" w:firstLineChars="100"/>
      <w:jc w:val="both"/>
      <w:rPr>
        <w:rFonts w:ascii="宋体" w:hAnsi="宋体"/>
        <w:kern w:val="0"/>
        <w:sz w:val="28"/>
        <w:szCs w:val="28"/>
      </w:rPr>
    </w:pPr>
  </w:p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95744"/>
    <w:rsid w:val="2E195744"/>
    <w:rsid w:val="3BE21494"/>
    <w:rsid w:val="5F0601D2"/>
    <w:rsid w:val="69C5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2021-09-17T01:28:00Z</dcterms:created>
  <dc:creator>可靠小狼君</dc:creator>
  <cp:lastModifiedBy>可靠小狼君</cp:lastModifiedBy>
  <dcterms:modified xsi:type="dcterms:W3CDTF">2021-09-23T03:22:25Z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629FF0A86E764F77ACB535C7E65B93C2</vt:lpwstr>
  </property>
</Properties>
</file>